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C5B6" w14:textId="2810FC69" w:rsidR="00456822" w:rsidRDefault="00456822"/>
    <w:p w14:paraId="17D9147C" w14:textId="7DF39A62" w:rsidR="00456822" w:rsidRDefault="00456822"/>
    <w:p w14:paraId="05768A6E" w14:textId="2FA955EF" w:rsidR="00456822" w:rsidRDefault="00456822"/>
    <w:p w14:paraId="0E527F9A" w14:textId="77777777" w:rsidR="00456822" w:rsidRDefault="00456822"/>
    <w:p w14:paraId="13244C14" w14:textId="728752A3" w:rsidR="00456822" w:rsidRDefault="00456822"/>
    <w:p w14:paraId="4C7A19F8" w14:textId="03432886" w:rsidR="00456822" w:rsidRDefault="00456822"/>
    <w:p w14:paraId="42763F99" w14:textId="168A8833" w:rsidR="00456822" w:rsidRDefault="00456822"/>
    <w:p w14:paraId="5B97CC24" w14:textId="77777777" w:rsidR="00843926" w:rsidRDefault="00843926"/>
    <w:p w14:paraId="40F5B172" w14:textId="2CA547DE" w:rsidR="00456822" w:rsidRDefault="00456822"/>
    <w:p w14:paraId="5BC2E73D" w14:textId="5F2DF5F6" w:rsidR="00456822" w:rsidRDefault="00456822"/>
    <w:p w14:paraId="0141C04D" w14:textId="527B0CF5" w:rsidR="00456822" w:rsidRDefault="00456822"/>
    <w:p w14:paraId="55ACFBAE" w14:textId="68401DFF" w:rsidR="00456822" w:rsidRDefault="00456822"/>
    <w:p w14:paraId="7ECBAD07" w14:textId="66B9ED3C" w:rsidR="00456822" w:rsidRDefault="00456822"/>
    <w:p w14:paraId="05CF1534" w14:textId="746D2FC6" w:rsidR="00456822" w:rsidRDefault="00456822"/>
    <w:p w14:paraId="630929CF" w14:textId="2B9CD4D0" w:rsidR="00456822" w:rsidRPr="002577AE" w:rsidRDefault="00117DAD" w:rsidP="00456822">
      <w:pPr>
        <w:keepNext/>
        <w:keepLines/>
        <w:spacing w:before="240" w:line="259" w:lineRule="auto"/>
        <w:rPr>
          <w:rFonts w:eastAsia="Calibri" w:cstheme="minorHAnsi"/>
          <w:b/>
          <w:bCs/>
          <w:color w:val="094174"/>
          <w:sz w:val="40"/>
          <w:szCs w:val="40"/>
        </w:rPr>
      </w:pPr>
      <w:r>
        <w:rPr>
          <w:rFonts w:eastAsia="Calibri" w:cstheme="minorHAnsi"/>
          <w:b/>
          <w:bCs/>
          <w:color w:val="094174"/>
          <w:sz w:val="40"/>
          <w:szCs w:val="40"/>
        </w:rPr>
        <w:t>Bolsa Latinoamericana de Valores (LATINEX)</w:t>
      </w:r>
    </w:p>
    <w:p w14:paraId="7195C4B6" w14:textId="6D3DE7C4" w:rsidR="00456822" w:rsidRPr="00CE6C88" w:rsidRDefault="00733CA7" w:rsidP="00456822">
      <w:pPr>
        <w:keepNext/>
        <w:keepLines/>
        <w:spacing w:before="240" w:line="259" w:lineRule="auto"/>
        <w:rPr>
          <w:rFonts w:eastAsia="Calibri" w:cstheme="minorHAnsi"/>
          <w:color w:val="094174"/>
          <w:sz w:val="40"/>
          <w:szCs w:val="40"/>
          <w:lang w:val="es-NI"/>
        </w:rPr>
      </w:pPr>
      <w:r>
        <w:rPr>
          <w:rFonts w:eastAsia="Calibri" w:cstheme="minorHAnsi"/>
          <w:color w:val="094174"/>
          <w:sz w:val="40"/>
          <w:szCs w:val="40"/>
        </w:rPr>
        <w:t xml:space="preserve">EXTRACTO </w:t>
      </w:r>
      <w:r w:rsidR="00CE6C88" w:rsidRPr="00CE6C88">
        <w:rPr>
          <w:rFonts w:eastAsia="Calibri" w:cstheme="minorHAnsi"/>
          <w:color w:val="094174"/>
          <w:sz w:val="40"/>
          <w:szCs w:val="40"/>
        </w:rPr>
        <w:t>POLÍTICA DE SEGURIDAD DE LA INFORMACIÓN</w:t>
      </w:r>
    </w:p>
    <w:p w14:paraId="19A86425" w14:textId="77777777" w:rsidR="00456822" w:rsidRPr="002577AE" w:rsidRDefault="00456822" w:rsidP="00456822">
      <w:pPr>
        <w:widowControl w:val="0"/>
        <w:autoSpaceDE w:val="0"/>
        <w:autoSpaceDN w:val="0"/>
        <w:rPr>
          <w:rFonts w:eastAsia="Arial" w:cstheme="minorHAnsi"/>
          <w:sz w:val="22"/>
          <w:szCs w:val="22"/>
          <w:lang w:val="es-CO"/>
        </w:rPr>
      </w:pPr>
    </w:p>
    <w:p w14:paraId="6C1693D0" w14:textId="3838FAA1" w:rsidR="00456822" w:rsidRPr="002577AE" w:rsidRDefault="00CE6C88" w:rsidP="00456822">
      <w:pPr>
        <w:widowControl w:val="0"/>
        <w:autoSpaceDE w:val="0"/>
        <w:autoSpaceDN w:val="0"/>
        <w:rPr>
          <w:rFonts w:eastAsia="Arial" w:cstheme="minorHAnsi"/>
          <w:b/>
          <w:bCs/>
          <w:color w:val="008ECB"/>
          <w:sz w:val="40"/>
          <w:szCs w:val="40"/>
          <w:lang w:val="es-CO"/>
        </w:rPr>
      </w:pPr>
      <w:r>
        <w:rPr>
          <w:rFonts w:eastAsia="Arial" w:cstheme="minorHAnsi"/>
          <w:b/>
          <w:bCs/>
          <w:color w:val="008ECB"/>
          <w:sz w:val="40"/>
          <w:szCs w:val="40"/>
          <w:lang w:val="es-CO"/>
        </w:rPr>
        <w:t>2023</w:t>
      </w:r>
    </w:p>
    <w:p w14:paraId="3931917E" w14:textId="77777777" w:rsidR="00456822" w:rsidRPr="00536C42" w:rsidRDefault="00456822" w:rsidP="00456822">
      <w:pPr>
        <w:spacing w:after="160"/>
        <w:rPr>
          <w:rFonts w:ascii="Times New Roman" w:eastAsia="Arial" w:hAnsi="Times New Roman" w:cs="Times New Roman"/>
          <w:w w:val="90"/>
          <w:lang w:val="es-CO"/>
        </w:rPr>
      </w:pPr>
    </w:p>
    <w:p w14:paraId="1BCEAE80" w14:textId="0DF5FF41" w:rsidR="00456822" w:rsidRDefault="00456822"/>
    <w:p w14:paraId="314E1EF4" w14:textId="27C303F8" w:rsidR="00456822" w:rsidRDefault="00456822"/>
    <w:p w14:paraId="7F7C10D0" w14:textId="559E05F4" w:rsidR="00456822" w:rsidRDefault="00456822"/>
    <w:p w14:paraId="50514BE5" w14:textId="59D9702C" w:rsidR="00456822" w:rsidRDefault="00456822"/>
    <w:p w14:paraId="05B13BFA" w14:textId="2DE8AEFE" w:rsidR="00456822" w:rsidRDefault="00456822"/>
    <w:p w14:paraId="528E146C" w14:textId="77777777" w:rsidR="003B0E64" w:rsidRDefault="003B0E64"/>
    <w:p w14:paraId="454C3E62" w14:textId="3B0BCB5E" w:rsidR="00456822" w:rsidRDefault="00456822"/>
    <w:p w14:paraId="4E85A300" w14:textId="56542E2C" w:rsidR="00E575F7" w:rsidRDefault="00E575F7"/>
    <w:p w14:paraId="767C3B14" w14:textId="16F35A17" w:rsidR="00E575F7" w:rsidRDefault="00E575F7"/>
    <w:p w14:paraId="10D3E685" w14:textId="2C3F3EB4" w:rsidR="00E575F7" w:rsidRDefault="00E575F7"/>
    <w:p w14:paraId="3C8E29C2" w14:textId="77777777" w:rsidR="00E575F7" w:rsidRDefault="00E575F7"/>
    <w:p w14:paraId="17024815" w14:textId="4D940573" w:rsidR="00456822" w:rsidRDefault="00456822"/>
    <w:p w14:paraId="20A60629" w14:textId="639C5F2A" w:rsidR="00336BE6" w:rsidRDefault="00456822" w:rsidP="00733CA7">
      <w:pPr>
        <w:jc w:val="both"/>
        <w:rPr>
          <w:color w:val="404040" w:themeColor="text1" w:themeTint="BF"/>
          <w:sz w:val="22"/>
          <w:szCs w:val="22"/>
        </w:rPr>
      </w:pPr>
      <w:r w:rsidRPr="003B0E64">
        <w:rPr>
          <w:color w:val="404040" w:themeColor="text1" w:themeTint="BF"/>
          <w:sz w:val="22"/>
          <w:szCs w:val="22"/>
        </w:rPr>
        <w:t>Las subsidiarias (Bolsa Latinoamericana de Valores, S.A. y Central Latinoamericana de Valores, S.A.) son Entidades Reguladas y Supervisadas por la Superintendencia del Mercado de Valores de la República de Panamá, con Licencia para operar como Organización Autorregulada bajo la Resolución No. CNV-349-90 de 30 de marzo de 1990 y No. CNV-68-97 del 23 julio 1997, respectivamente.</w:t>
      </w:r>
    </w:p>
    <w:p w14:paraId="0FE62DC7" w14:textId="546972F6" w:rsidR="00FB70ED" w:rsidRPr="00733CA7" w:rsidRDefault="00FB70ED" w:rsidP="00733CA7">
      <w:pPr>
        <w:rPr>
          <w:rFonts w:ascii="Calibri" w:eastAsia="Calibri" w:hAnsi="Calibri" w:cs="Times New Roman"/>
          <w:b/>
          <w:color w:val="094174"/>
          <w:lang w:val="es-ES" w:eastAsia="es-ES" w:bidi="es-ES"/>
        </w:rPr>
      </w:pPr>
      <w:r w:rsidRPr="00CE6C88">
        <w:rPr>
          <w:color w:val="404040" w:themeColor="text1" w:themeTint="BF"/>
          <w:sz w:val="22"/>
          <w:szCs w:val="22"/>
        </w:rPr>
        <w:lastRenderedPageBreak/>
        <w:t xml:space="preserve">Bolsa Latinoamericana de Valores (LATINEX) es una organización autorregulada que administra y regula las operaciones de compra/venta que se realizan de los distintos instrumentos que ofrecen las compañías inscritas en el mercado. </w:t>
      </w:r>
    </w:p>
    <w:p w14:paraId="0C76F52D" w14:textId="77777777" w:rsidR="00FB70ED" w:rsidRPr="00CE6C88" w:rsidRDefault="00FB70ED" w:rsidP="00FB70ED">
      <w:pPr>
        <w:jc w:val="both"/>
        <w:rPr>
          <w:color w:val="404040" w:themeColor="text1" w:themeTint="BF"/>
          <w:sz w:val="22"/>
          <w:szCs w:val="22"/>
        </w:rPr>
      </w:pPr>
    </w:p>
    <w:p w14:paraId="4AA87692" w14:textId="77777777" w:rsidR="00FB70ED" w:rsidRDefault="00FB70ED" w:rsidP="00FB70ED">
      <w:pPr>
        <w:jc w:val="both"/>
        <w:rPr>
          <w:color w:val="404040" w:themeColor="text1" w:themeTint="BF"/>
          <w:sz w:val="22"/>
          <w:szCs w:val="22"/>
        </w:rPr>
      </w:pPr>
      <w:r w:rsidRPr="00CE6C88">
        <w:rPr>
          <w:color w:val="404040" w:themeColor="text1" w:themeTint="BF"/>
          <w:sz w:val="22"/>
          <w:szCs w:val="22"/>
        </w:rPr>
        <w:t>LATINEX ha decido implementar un Sistema de Gestión de Seguridad de la Información (SGSI) para fortalecer su compromiso en el mercado de Valores, asegurar la continuidad operativa y la protección de los activos de información que son gestionados en sus sistemas de negociación y procesos relacionados, conservando sus 3 propiedades (disponibilidad, confidencialidad e integridad)</w:t>
      </w:r>
      <w:r>
        <w:rPr>
          <w:color w:val="404040" w:themeColor="text1" w:themeTint="BF"/>
          <w:sz w:val="22"/>
          <w:szCs w:val="22"/>
        </w:rPr>
        <w:t>.</w:t>
      </w:r>
    </w:p>
    <w:p w14:paraId="3BD993DC" w14:textId="77777777" w:rsidR="00FB70ED" w:rsidRPr="00CE6C88" w:rsidRDefault="00FB70ED" w:rsidP="00FB70ED">
      <w:pPr>
        <w:jc w:val="both"/>
        <w:rPr>
          <w:color w:val="404040" w:themeColor="text1" w:themeTint="BF"/>
          <w:sz w:val="22"/>
          <w:szCs w:val="22"/>
        </w:rPr>
      </w:pPr>
    </w:p>
    <w:p w14:paraId="250A2A14" w14:textId="77777777" w:rsidR="00FB70ED" w:rsidRPr="00CE6C88" w:rsidRDefault="00FB70ED" w:rsidP="00FB70ED">
      <w:pPr>
        <w:jc w:val="both"/>
        <w:rPr>
          <w:color w:val="404040" w:themeColor="text1" w:themeTint="BF"/>
          <w:sz w:val="22"/>
          <w:szCs w:val="22"/>
        </w:rPr>
      </w:pPr>
      <w:r w:rsidRPr="00CE6C88">
        <w:rPr>
          <w:color w:val="404040" w:themeColor="text1" w:themeTint="BF"/>
          <w:sz w:val="22"/>
          <w:szCs w:val="22"/>
        </w:rPr>
        <w:t>En la presente política se establecerán los objetivos de seguridad de la información, los cuales serán medidos y evaluados en periodos de tiempo determinado para identificar la efectividad del SGSI y desarrollar planes de acción como un compromiso con la mejora continua del Sistema de Gestión de Seguridad de la Información.</w:t>
      </w:r>
    </w:p>
    <w:p w14:paraId="2BBADF70" w14:textId="77777777" w:rsidR="007D1510" w:rsidRPr="006207FD" w:rsidRDefault="007D1510" w:rsidP="00706F0A">
      <w:pPr>
        <w:rPr>
          <w:color w:val="404040" w:themeColor="text1" w:themeTint="BF"/>
        </w:rPr>
      </w:pPr>
    </w:p>
    <w:p w14:paraId="34B70C76" w14:textId="63D3C794" w:rsidR="00CE6C88" w:rsidRDefault="00CE6C88" w:rsidP="00CE6C88">
      <w:pPr>
        <w:pStyle w:val="Ttulo2"/>
        <w:rPr>
          <w:color w:val="094174"/>
        </w:rPr>
      </w:pPr>
      <w:bookmarkStart w:id="0" w:name="_Toc144109246"/>
      <w:r w:rsidRPr="00CE6C88">
        <w:rPr>
          <w:color w:val="094174"/>
        </w:rPr>
        <w:t>Objetivos y medición</w:t>
      </w:r>
      <w:bookmarkEnd w:id="0"/>
    </w:p>
    <w:p w14:paraId="73FADD2C" w14:textId="77777777" w:rsidR="00FB70ED" w:rsidRPr="00CE6C88" w:rsidRDefault="00FB70ED" w:rsidP="00FB70ED">
      <w:pPr>
        <w:jc w:val="both"/>
        <w:rPr>
          <w:rFonts w:cstheme="minorHAnsi"/>
          <w:sz w:val="22"/>
          <w:szCs w:val="22"/>
        </w:rPr>
      </w:pPr>
      <w:r w:rsidRPr="00CE6C88">
        <w:rPr>
          <w:rFonts w:cstheme="minorHAnsi"/>
          <w:sz w:val="22"/>
          <w:szCs w:val="22"/>
        </w:rPr>
        <w:t xml:space="preserve">Los objetivos generales para el sistema de gestión de seguridad de la información estarán alineados con los objetivos estratégicos de la organización y sus resultados podrán estar vinculados a su vez con objetivos comerciales y de relaciones públicas según sea determinado por la Alta Dirección. Los objetivos de Seguridad de la Información son los siguientes: </w:t>
      </w:r>
    </w:p>
    <w:p w14:paraId="7A03E35B" w14:textId="77777777" w:rsidR="00FB70ED" w:rsidRDefault="00FB70ED" w:rsidP="00FB70E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CE6C88">
        <w:rPr>
          <w:rFonts w:asciiTheme="minorHAnsi" w:hAnsiTheme="minorHAnsi" w:cstheme="minorHAnsi"/>
        </w:rPr>
        <w:t>Implementar y mantener un Sistema de Gestión de Seguridad de la Información para Bolsa Latinoamericana de Valores LATINEX soportado en un modelo de seguridad de la información basado en la norma ISO/IEC 27001:20</w:t>
      </w:r>
      <w:r>
        <w:rPr>
          <w:rFonts w:asciiTheme="minorHAnsi" w:hAnsiTheme="minorHAnsi" w:cstheme="minorHAnsi"/>
        </w:rPr>
        <w:t>22</w:t>
      </w:r>
      <w:r w:rsidRPr="00CE6C88">
        <w:rPr>
          <w:rFonts w:asciiTheme="minorHAnsi" w:hAnsiTheme="minorHAnsi" w:cstheme="minorHAnsi"/>
        </w:rPr>
        <w:t>.</w:t>
      </w:r>
    </w:p>
    <w:p w14:paraId="02361C5D" w14:textId="77777777" w:rsidR="00FB70ED" w:rsidRPr="006870FA" w:rsidRDefault="00FB70ED" w:rsidP="00FB70ED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6870FA">
        <w:rPr>
          <w:rFonts w:asciiTheme="minorHAnsi" w:hAnsiTheme="minorHAnsi" w:cstheme="minorHAnsi"/>
        </w:rPr>
        <w:t>Gestionar la preservación de la confidencialidad, integridad y disponibilidad de nuestros activos de información acordes al alcance del SGSI</w:t>
      </w:r>
      <w:r>
        <w:rPr>
          <w:rFonts w:asciiTheme="minorHAnsi" w:hAnsiTheme="minorHAnsi" w:cstheme="minorHAnsi"/>
        </w:rPr>
        <w:t xml:space="preserve">, incluido lo procesado o almacenado en nuestros sistemas y servicios críticos terceros, </w:t>
      </w:r>
      <w:r w:rsidRPr="006870FA">
        <w:rPr>
          <w:rFonts w:asciiTheme="minorHAnsi" w:hAnsiTheme="minorHAnsi" w:cstheme="minorHAnsi"/>
        </w:rPr>
        <w:t xml:space="preserve">mediante la evaluación de los riesgos y aplicación de controles de seguridad de la información. </w:t>
      </w:r>
    </w:p>
    <w:p w14:paraId="70EACA76" w14:textId="77777777" w:rsidR="00FB70ED" w:rsidRDefault="00FB70ED" w:rsidP="00FB70E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Garantizar la operatividad y disponibilidad del sistema de negociación NASDAQ ME a través del monitoreo de los recursos y la aplicación de procedimientos de tecnología.</w:t>
      </w:r>
    </w:p>
    <w:p w14:paraId="7A66174A" w14:textId="77777777" w:rsidR="00FB70ED" w:rsidRDefault="00FB70ED" w:rsidP="00FB70E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Promover una cultura positiva de Ciberseguridad y Seguridad de la Información en todo el personal de Bolsa Latinoamericana de Valores (LATINEX) acorde con el alcance del SGSI.</w:t>
      </w:r>
    </w:p>
    <w:p w14:paraId="39985D8E" w14:textId="77777777" w:rsidR="00FB70ED" w:rsidRDefault="00FB70ED" w:rsidP="00FB70ED">
      <w:pPr>
        <w:pStyle w:val="Prrafodelista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rFonts w:asciiTheme="minorHAnsi" w:hAnsiTheme="minorHAnsi" w:cstheme="minorHAnsi"/>
        </w:rPr>
      </w:pPr>
    </w:p>
    <w:p w14:paraId="02D9E34F" w14:textId="77777777" w:rsidR="00FB70ED" w:rsidRDefault="00FB70ED" w:rsidP="00FB70ED">
      <w:pPr>
        <w:jc w:val="both"/>
        <w:rPr>
          <w:sz w:val="22"/>
          <w:szCs w:val="22"/>
        </w:rPr>
      </w:pPr>
      <w:r w:rsidRPr="00E2738C">
        <w:rPr>
          <w:sz w:val="22"/>
          <w:szCs w:val="22"/>
        </w:rPr>
        <w:t xml:space="preserve">El Oficial de Seguridad de la Información debe asegurarse de que todos los empleados de </w:t>
      </w:r>
      <w:r>
        <w:rPr>
          <w:sz w:val="22"/>
          <w:szCs w:val="22"/>
        </w:rPr>
        <w:t xml:space="preserve">la </w:t>
      </w:r>
      <w:r w:rsidRPr="00E2738C">
        <w:rPr>
          <w:sz w:val="22"/>
          <w:szCs w:val="22"/>
        </w:rPr>
        <w:t>Bolsa Latinoamericana de Valores (LATINEX)</w:t>
      </w:r>
      <w:r>
        <w:rPr>
          <w:sz w:val="22"/>
          <w:szCs w:val="22"/>
        </w:rPr>
        <w:t xml:space="preserve"> dentro del alcance del SGSI</w:t>
      </w:r>
      <w:r w:rsidRPr="00E2738C">
        <w:rPr>
          <w:sz w:val="22"/>
          <w:szCs w:val="22"/>
        </w:rPr>
        <w:t>, como también los participantes externos correspondientes, estén familiarizados con esta Política.</w:t>
      </w:r>
    </w:p>
    <w:p w14:paraId="6A79C974" w14:textId="77777777" w:rsidR="00733CA7" w:rsidRPr="00F01CBC" w:rsidRDefault="00733CA7" w:rsidP="00FB70ED">
      <w:pPr>
        <w:jc w:val="both"/>
        <w:rPr>
          <w:sz w:val="22"/>
          <w:szCs w:val="22"/>
        </w:rPr>
      </w:pPr>
    </w:p>
    <w:p w14:paraId="3F65FC71" w14:textId="77777777" w:rsidR="00FB70ED" w:rsidRDefault="00FB70ED" w:rsidP="00FB70ED">
      <w:pPr>
        <w:contextualSpacing/>
        <w:jc w:val="both"/>
        <w:rPr>
          <w:sz w:val="22"/>
          <w:szCs w:val="22"/>
        </w:rPr>
      </w:pPr>
      <w:r w:rsidRPr="00733CA7">
        <w:rPr>
          <w:sz w:val="22"/>
          <w:szCs w:val="22"/>
        </w:rPr>
        <w:t xml:space="preserve">Los usuarios de este documento son todos los empleados de Bolsa Latinoamericana de Valores LATINEX, como también terceros externos a la organización según el nivel de clasificación de la información establecido en el nivel de confidencialidad. </w:t>
      </w:r>
    </w:p>
    <w:p w14:paraId="2EDEB656" w14:textId="77777777" w:rsidR="00733CA7" w:rsidRDefault="00733CA7" w:rsidP="00FB70ED">
      <w:pPr>
        <w:contextualSpacing/>
        <w:jc w:val="both"/>
        <w:rPr>
          <w:sz w:val="22"/>
          <w:szCs w:val="22"/>
        </w:rPr>
      </w:pPr>
    </w:p>
    <w:p w14:paraId="46795FE8" w14:textId="41F9561D" w:rsidR="00733CA7" w:rsidRPr="00733CA7" w:rsidRDefault="00733CA7" w:rsidP="00FB70ED">
      <w:pPr>
        <w:contextualSpacing/>
        <w:jc w:val="both"/>
        <w:rPr>
          <w:b/>
          <w:bCs/>
          <w:sz w:val="22"/>
          <w:szCs w:val="22"/>
        </w:rPr>
      </w:pPr>
      <w:r w:rsidRPr="00733CA7">
        <w:rPr>
          <w:b/>
          <w:bCs/>
          <w:sz w:val="22"/>
          <w:szCs w:val="22"/>
        </w:rPr>
        <w:t xml:space="preserve">Extracto de la POLÍTICA DE SEGURIDAD DE LA INFORMACIÓN LTX-SI-PO002. Para consultar el documento completo deberá solicitarlo a  </w:t>
      </w:r>
      <w:hyperlink r:id="rId11" w:history="1">
        <w:r w:rsidRPr="00FB4B74">
          <w:rPr>
            <w:rStyle w:val="Hipervnculo"/>
            <w:b/>
            <w:bCs/>
            <w:sz w:val="22"/>
            <w:szCs w:val="22"/>
          </w:rPr>
          <w:t>arodriguez@latinexgroup.com</w:t>
        </w:r>
      </w:hyperlink>
      <w:r>
        <w:rPr>
          <w:b/>
          <w:bCs/>
          <w:sz w:val="22"/>
          <w:szCs w:val="22"/>
        </w:rPr>
        <w:t xml:space="preserve"> </w:t>
      </w:r>
    </w:p>
    <w:sectPr w:rsidR="00733CA7" w:rsidRPr="00733CA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C6A1" w14:textId="77777777" w:rsidR="003F2101" w:rsidRDefault="003F2101" w:rsidP="00060B43">
      <w:r>
        <w:separator/>
      </w:r>
    </w:p>
  </w:endnote>
  <w:endnote w:type="continuationSeparator" w:id="0">
    <w:p w14:paraId="2A37EE6F" w14:textId="77777777" w:rsidR="003F2101" w:rsidRDefault="003F2101" w:rsidP="0006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3A0" w14:textId="7A76CFB8" w:rsidR="00060B43" w:rsidRDefault="00060B43" w:rsidP="005A57CA">
    <w:pPr>
      <w:pStyle w:val="Piedepgina"/>
      <w:tabs>
        <w:tab w:val="clear" w:pos="44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B6C6" w14:textId="77777777" w:rsidR="003F2101" w:rsidRDefault="003F2101" w:rsidP="00060B43">
      <w:r>
        <w:separator/>
      </w:r>
    </w:p>
  </w:footnote>
  <w:footnote w:type="continuationSeparator" w:id="0">
    <w:p w14:paraId="2A5529C5" w14:textId="77777777" w:rsidR="003F2101" w:rsidRDefault="003F2101" w:rsidP="0006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Ind w:w="-1139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2977"/>
      <w:gridCol w:w="4394"/>
      <w:gridCol w:w="3686"/>
    </w:tblGrid>
    <w:tr w:rsidR="00C46CA5" w:rsidRPr="00CE6C88" w14:paraId="6E2F4EDD" w14:textId="77777777" w:rsidTr="00CE6C88">
      <w:tc>
        <w:tcPr>
          <w:tcW w:w="2977" w:type="dxa"/>
          <w:vMerge w:val="restart"/>
        </w:tcPr>
        <w:p w14:paraId="50EBBBF9" w14:textId="391C0226" w:rsidR="00850DA5" w:rsidRPr="00C46CA5" w:rsidRDefault="004D2339" w:rsidP="004D2339">
          <w:pPr>
            <w:pStyle w:val="Encabezado"/>
            <w:rPr>
              <w:color w:val="404040" w:themeColor="text1" w:themeTint="BF"/>
              <w:sz w:val="22"/>
              <w:szCs w:val="22"/>
            </w:rPr>
          </w:pPr>
          <w:r w:rsidRPr="00C46CA5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64384" behindDoc="0" locked="0" layoutInCell="1" allowOverlap="1" wp14:anchorId="6529AC2D" wp14:editId="1EAB2FAD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1678305" cy="561975"/>
                <wp:effectExtent l="0" t="0" r="0" b="9525"/>
                <wp:wrapThrough wrapText="bothSides">
                  <wp:wrapPolygon edited="0">
                    <wp:start x="1226" y="0"/>
                    <wp:lineTo x="0" y="2197"/>
                    <wp:lineTo x="0" y="10983"/>
                    <wp:lineTo x="245" y="17573"/>
                    <wp:lineTo x="3187" y="20502"/>
                    <wp:lineTo x="7846" y="21234"/>
                    <wp:lineTo x="21330" y="21234"/>
                    <wp:lineTo x="21330" y="5858"/>
                    <wp:lineTo x="20350" y="5858"/>
                    <wp:lineTo x="2942" y="0"/>
                    <wp:lineTo x="1226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34" r="21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30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7E972D00" w14:textId="774B9F61" w:rsidR="00850DA5" w:rsidRPr="00C46CA5" w:rsidRDefault="00117DAD" w:rsidP="0064276C">
          <w:pPr>
            <w:pStyle w:val="Encabezado"/>
            <w:rPr>
              <w:b/>
              <w:bCs/>
              <w:color w:val="404040" w:themeColor="text1" w:themeTint="BF"/>
              <w:sz w:val="20"/>
              <w:szCs w:val="20"/>
            </w:rPr>
          </w:pPr>
          <w:r>
            <w:rPr>
              <w:b/>
              <w:bCs/>
              <w:color w:val="404040" w:themeColor="text1" w:themeTint="BF"/>
              <w:sz w:val="20"/>
              <w:szCs w:val="20"/>
            </w:rPr>
            <w:t>Bolsa Latinoamericana de Valores</w:t>
          </w:r>
        </w:p>
      </w:tc>
      <w:tc>
        <w:tcPr>
          <w:tcW w:w="3686" w:type="dxa"/>
        </w:tcPr>
        <w:p w14:paraId="08A64846" w14:textId="0CBA5328" w:rsidR="00850DA5" w:rsidRPr="00CE6C88" w:rsidRDefault="002C6420" w:rsidP="002C6420">
          <w:pPr>
            <w:rPr>
              <w:rFonts w:cstheme="minorHAnsi"/>
              <w:color w:val="404040" w:themeColor="text1" w:themeTint="BF"/>
              <w:sz w:val="20"/>
              <w:szCs w:val="20"/>
              <w:lang w:val="pt-BR"/>
            </w:rPr>
          </w:pPr>
          <w:r w:rsidRPr="00CE6C88">
            <w:rPr>
              <w:rFonts w:cstheme="minorHAnsi"/>
              <w:color w:val="404040" w:themeColor="text1" w:themeTint="BF"/>
              <w:sz w:val="20"/>
              <w:szCs w:val="20"/>
              <w:lang w:val="pt-BR"/>
            </w:rPr>
            <w:t xml:space="preserve">Código: </w:t>
          </w:r>
          <w:r w:rsidRPr="00CE6C88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pt-BR"/>
            </w:rPr>
            <w:t>LTX-</w:t>
          </w:r>
          <w:r w:rsidR="00CE6C88" w:rsidRPr="00CE6C88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pt-BR"/>
            </w:rPr>
            <w:t>SI-PO002</w:t>
          </w:r>
          <w:r w:rsidRPr="00CE6C88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pt-BR"/>
            </w:rPr>
            <w:t xml:space="preserve"> V </w:t>
          </w:r>
          <w:r w:rsidR="00993706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pt-BR"/>
            </w:rPr>
            <w:t>2</w:t>
          </w:r>
          <w:r w:rsidR="00117DAD" w:rsidRPr="00CE6C88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pt-BR"/>
            </w:rPr>
            <w:t>.0</w:t>
          </w:r>
          <w:r w:rsidR="00117DAD" w:rsidRPr="00CE6C88">
            <w:rPr>
              <w:rFonts w:cstheme="minorHAnsi"/>
              <w:color w:val="404040" w:themeColor="text1" w:themeTint="BF"/>
              <w:sz w:val="20"/>
              <w:szCs w:val="20"/>
              <w:lang w:val="pt-BR"/>
            </w:rPr>
            <w:t xml:space="preserve"> </w:t>
          </w:r>
          <w:proofErr w:type="spellStart"/>
          <w:r w:rsidR="00993706">
            <w:rPr>
              <w:rFonts w:cstheme="minorHAnsi"/>
              <w:color w:val="404040" w:themeColor="text1" w:themeTint="BF"/>
              <w:sz w:val="20"/>
              <w:szCs w:val="20"/>
              <w:lang w:val="pt-BR"/>
            </w:rPr>
            <w:t>noviembre</w:t>
          </w:r>
          <w:proofErr w:type="spellEnd"/>
          <w:r w:rsidRPr="00CE6C88">
            <w:rPr>
              <w:rFonts w:cstheme="minorHAnsi"/>
              <w:color w:val="404040" w:themeColor="text1" w:themeTint="BF"/>
              <w:sz w:val="20"/>
              <w:szCs w:val="20"/>
              <w:lang w:val="pt-BR"/>
            </w:rPr>
            <w:t>/</w:t>
          </w:r>
          <w:r w:rsidR="00CE6C88" w:rsidRPr="00CE6C88">
            <w:rPr>
              <w:rFonts w:cstheme="minorHAnsi"/>
              <w:color w:val="404040" w:themeColor="text1" w:themeTint="BF"/>
              <w:sz w:val="20"/>
              <w:szCs w:val="20"/>
              <w:lang w:val="pt-BR"/>
            </w:rPr>
            <w:t>2023</w:t>
          </w:r>
        </w:p>
      </w:tc>
    </w:tr>
    <w:tr w:rsidR="0088314C" w:rsidRPr="00C46CA5" w14:paraId="7A9080CE" w14:textId="77777777" w:rsidTr="00CE6C88">
      <w:tc>
        <w:tcPr>
          <w:tcW w:w="2977" w:type="dxa"/>
          <w:vMerge/>
        </w:tcPr>
        <w:p w14:paraId="27F15F49" w14:textId="77777777" w:rsidR="0088314C" w:rsidRPr="00CE6C88" w:rsidRDefault="0088314C">
          <w:pPr>
            <w:pStyle w:val="Encabezado"/>
            <w:jc w:val="right"/>
            <w:rPr>
              <w:color w:val="404040" w:themeColor="text1" w:themeTint="BF"/>
              <w:sz w:val="22"/>
              <w:szCs w:val="22"/>
              <w:lang w:val="pt-BR"/>
            </w:rPr>
          </w:pPr>
        </w:p>
      </w:tc>
      <w:tc>
        <w:tcPr>
          <w:tcW w:w="4394" w:type="dxa"/>
          <w:vMerge w:val="restart"/>
          <w:vAlign w:val="center"/>
        </w:tcPr>
        <w:p w14:paraId="71E135AE" w14:textId="38C3318A" w:rsidR="0088314C" w:rsidRPr="00C46CA5" w:rsidRDefault="00CE6C88" w:rsidP="00463375">
          <w:pPr>
            <w:pStyle w:val="Encabezado"/>
            <w:rPr>
              <w:b/>
              <w:bCs/>
              <w:color w:val="404040" w:themeColor="text1" w:themeTint="BF"/>
              <w:sz w:val="20"/>
              <w:szCs w:val="20"/>
            </w:rPr>
          </w:pPr>
          <w:r w:rsidRPr="00CE6C88">
            <w:rPr>
              <w:b/>
              <w:bCs/>
              <w:color w:val="404040" w:themeColor="text1" w:themeTint="BF"/>
              <w:sz w:val="20"/>
              <w:szCs w:val="20"/>
            </w:rPr>
            <w:t>POLÍTICA DE SEGURIDAD DE LA INFORMACIÓN</w:t>
          </w:r>
        </w:p>
      </w:tc>
      <w:tc>
        <w:tcPr>
          <w:tcW w:w="3686" w:type="dxa"/>
        </w:tcPr>
        <w:p w14:paraId="67D53CF5" w14:textId="126EEE73" w:rsidR="0088314C" w:rsidRPr="00C46CA5" w:rsidRDefault="0088314C" w:rsidP="002C6420">
          <w:pPr>
            <w:pStyle w:val="Encabezado"/>
            <w:rPr>
              <w:color w:val="404040" w:themeColor="text1" w:themeTint="BF"/>
              <w:sz w:val="20"/>
              <w:szCs w:val="20"/>
            </w:rPr>
          </w:pPr>
          <w:r w:rsidRPr="00C46CA5">
            <w:rPr>
              <w:rFonts w:cstheme="minorHAnsi"/>
              <w:color w:val="404040" w:themeColor="text1" w:themeTint="BF"/>
              <w:sz w:val="20"/>
              <w:szCs w:val="20"/>
              <w:lang w:val="es-ES"/>
            </w:rPr>
            <w:t xml:space="preserve">Nivel de </w:t>
          </w:r>
          <w:r>
            <w:rPr>
              <w:rFonts w:cstheme="minorHAnsi"/>
              <w:color w:val="404040" w:themeColor="text1" w:themeTint="BF"/>
              <w:sz w:val="20"/>
              <w:szCs w:val="20"/>
              <w:lang w:val="es-ES"/>
            </w:rPr>
            <w:t>c</w:t>
          </w:r>
          <w:r w:rsidRPr="00C46CA5">
            <w:rPr>
              <w:rFonts w:cstheme="minorHAnsi"/>
              <w:color w:val="404040" w:themeColor="text1" w:themeTint="BF"/>
              <w:sz w:val="20"/>
              <w:szCs w:val="20"/>
              <w:lang w:val="es-ES"/>
            </w:rPr>
            <w:t xml:space="preserve">onfidencialidad: </w:t>
          </w:r>
          <w:r w:rsidR="00117DAD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ES"/>
            </w:rPr>
            <w:t>PÚBLICO</w:t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ES"/>
            </w:rPr>
            <w:t xml:space="preserve">     </w:t>
          </w:r>
        </w:p>
      </w:tc>
    </w:tr>
    <w:tr w:rsidR="0088314C" w:rsidRPr="00C46CA5" w14:paraId="56ABA7F1" w14:textId="77777777" w:rsidTr="00CE6C88">
      <w:trPr>
        <w:trHeight w:val="575"/>
      </w:trPr>
      <w:tc>
        <w:tcPr>
          <w:tcW w:w="2977" w:type="dxa"/>
          <w:vMerge/>
        </w:tcPr>
        <w:p w14:paraId="14AA5E11" w14:textId="77777777" w:rsidR="0088314C" w:rsidRPr="00C46CA5" w:rsidRDefault="0088314C">
          <w:pPr>
            <w:pStyle w:val="Encabezado"/>
            <w:jc w:val="right"/>
            <w:rPr>
              <w:color w:val="404040" w:themeColor="text1" w:themeTint="BF"/>
              <w:sz w:val="22"/>
              <w:szCs w:val="22"/>
            </w:rPr>
          </w:pPr>
        </w:p>
      </w:tc>
      <w:tc>
        <w:tcPr>
          <w:tcW w:w="4394" w:type="dxa"/>
          <w:vMerge/>
        </w:tcPr>
        <w:p w14:paraId="66E77622" w14:textId="702FB75A" w:rsidR="0088314C" w:rsidRPr="00C46CA5" w:rsidRDefault="0088314C" w:rsidP="002C6420">
          <w:pPr>
            <w:pStyle w:val="Encabezado"/>
            <w:rPr>
              <w:color w:val="404040" w:themeColor="text1" w:themeTint="BF"/>
              <w:sz w:val="20"/>
              <w:szCs w:val="20"/>
            </w:rPr>
          </w:pPr>
        </w:p>
      </w:tc>
      <w:tc>
        <w:tcPr>
          <w:tcW w:w="3686" w:type="dxa"/>
        </w:tcPr>
        <w:p w14:paraId="528F0166" w14:textId="77777777" w:rsidR="0088314C" w:rsidRPr="00C46CA5" w:rsidRDefault="0088314C" w:rsidP="002C6420">
          <w:pPr>
            <w:pStyle w:val="Encabezado"/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ES"/>
            </w:rPr>
          </w:pPr>
          <w:r w:rsidRPr="00C46CA5">
            <w:rPr>
              <w:rFonts w:cstheme="minorHAnsi"/>
              <w:color w:val="404040" w:themeColor="text1" w:themeTint="BF"/>
              <w:sz w:val="20"/>
              <w:szCs w:val="20"/>
              <w:lang w:val="es-ES"/>
            </w:rPr>
            <w:t>Idioma</w:t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ES"/>
            </w:rPr>
            <w:t>: español</w:t>
          </w:r>
        </w:p>
        <w:p w14:paraId="58ABECE3" w14:textId="381F5F18" w:rsidR="0088314C" w:rsidRPr="00C46CA5" w:rsidRDefault="0088314C" w:rsidP="002C6420">
          <w:pPr>
            <w:rPr>
              <w:rFonts w:cstheme="minorHAnsi"/>
              <w:color w:val="404040" w:themeColor="text1" w:themeTint="BF"/>
              <w:sz w:val="20"/>
              <w:szCs w:val="20"/>
              <w:lang w:val="es-NI"/>
            </w:rPr>
          </w:pPr>
          <w:r w:rsidRPr="00C46CA5">
            <w:rPr>
              <w:rFonts w:cstheme="minorHAnsi"/>
              <w:color w:val="404040" w:themeColor="text1" w:themeTint="BF"/>
              <w:sz w:val="20"/>
              <w:szCs w:val="20"/>
            </w:rPr>
            <w:t xml:space="preserve">Página </w:t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fldChar w:fldCharType="begin"/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instrText>PAGE  \* Arabic  \* MERGEFORMAT</w:instrText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fldChar w:fldCharType="separate"/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t>1</w:t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fldChar w:fldCharType="end"/>
          </w:r>
          <w:r w:rsidRPr="00C46CA5">
            <w:rPr>
              <w:rFonts w:cstheme="minorHAnsi"/>
              <w:color w:val="404040" w:themeColor="text1" w:themeTint="BF"/>
              <w:sz w:val="20"/>
              <w:szCs w:val="20"/>
            </w:rPr>
            <w:t xml:space="preserve"> de </w:t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fldChar w:fldCharType="begin"/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instrText>NUMPAGES  \* Arabic  \* MERGEFORMAT</w:instrText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fldChar w:fldCharType="separate"/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t>3</w:t>
          </w:r>
          <w:r w:rsidRPr="00C46CA5">
            <w:rPr>
              <w:rFonts w:cstheme="minorHAnsi"/>
              <w:b/>
              <w:bCs/>
              <w:color w:val="404040" w:themeColor="text1" w:themeTint="BF"/>
              <w:sz w:val="20"/>
              <w:szCs w:val="20"/>
              <w:lang w:val="es-NI"/>
            </w:rPr>
            <w:fldChar w:fldCharType="end"/>
          </w:r>
        </w:p>
      </w:tc>
    </w:tr>
  </w:tbl>
  <w:p w14:paraId="75D0C905" w14:textId="520FF401" w:rsidR="00D65B69" w:rsidRDefault="004E36F2">
    <w:pPr>
      <w:pStyle w:val="Encabezado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572CA3CC" wp14:editId="73C78D94">
          <wp:simplePos x="0" y="0"/>
          <wp:positionH relativeFrom="page">
            <wp:posOffset>-523875</wp:posOffset>
          </wp:positionH>
          <wp:positionV relativeFrom="paragraph">
            <wp:posOffset>438150</wp:posOffset>
          </wp:positionV>
          <wp:extent cx="8411282" cy="8410354"/>
          <wp:effectExtent l="0" t="0" r="8890" b="0"/>
          <wp:wrapNone/>
          <wp:docPr id="4" name="Imagen 4" descr="Un conjunto de letras negr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conjunto de letras negras en un fondo blanc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27" b="4288"/>
                  <a:stretch>
                    <a:fillRect/>
                  </a:stretch>
                </pic:blipFill>
                <pic:spPr bwMode="auto">
                  <a:xfrm>
                    <a:off x="0" y="0"/>
                    <a:ext cx="8411282" cy="841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59E"/>
    <w:multiLevelType w:val="multilevel"/>
    <w:tmpl w:val="B5ACFF7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0B1F"/>
    <w:multiLevelType w:val="hybridMultilevel"/>
    <w:tmpl w:val="AAA2BD0A"/>
    <w:lvl w:ilvl="0" w:tplc="E2962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83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E5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4E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C1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E1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69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01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2C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499"/>
    <w:multiLevelType w:val="hybridMultilevel"/>
    <w:tmpl w:val="FA703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D1B"/>
    <w:multiLevelType w:val="multilevel"/>
    <w:tmpl w:val="AF0E37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3" w:hanging="1440"/>
      </w:pPr>
      <w:rPr>
        <w:rFonts w:hint="default"/>
      </w:rPr>
    </w:lvl>
  </w:abstractNum>
  <w:abstractNum w:abstractNumId="4" w15:restartNumberingAfterBreak="0">
    <w:nsid w:val="1DD81DE4"/>
    <w:multiLevelType w:val="multilevel"/>
    <w:tmpl w:val="AF0E37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3" w:hanging="1440"/>
      </w:pPr>
      <w:rPr>
        <w:rFonts w:hint="default"/>
      </w:rPr>
    </w:lvl>
  </w:abstractNum>
  <w:abstractNum w:abstractNumId="5" w15:restartNumberingAfterBreak="0">
    <w:nsid w:val="1F1F13F0"/>
    <w:multiLevelType w:val="hybridMultilevel"/>
    <w:tmpl w:val="0B86808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230F"/>
    <w:multiLevelType w:val="hybridMultilevel"/>
    <w:tmpl w:val="47D05C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81975">
    <w:abstractNumId w:val="3"/>
  </w:num>
  <w:num w:numId="2" w16cid:durableId="1719279972">
    <w:abstractNumId w:val="4"/>
  </w:num>
  <w:num w:numId="3" w16cid:durableId="2326279">
    <w:abstractNumId w:val="0"/>
  </w:num>
  <w:num w:numId="4" w16cid:durableId="1956864801">
    <w:abstractNumId w:val="6"/>
  </w:num>
  <w:num w:numId="5" w16cid:durableId="1911455315">
    <w:abstractNumId w:val="0"/>
  </w:num>
  <w:num w:numId="6" w16cid:durableId="1415740692">
    <w:abstractNumId w:val="0"/>
  </w:num>
  <w:num w:numId="7" w16cid:durableId="1664623458">
    <w:abstractNumId w:val="2"/>
  </w:num>
  <w:num w:numId="8" w16cid:durableId="1540124366">
    <w:abstractNumId w:val="5"/>
  </w:num>
  <w:num w:numId="9" w16cid:durableId="194957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22"/>
    <w:rsid w:val="00017C28"/>
    <w:rsid w:val="00027B11"/>
    <w:rsid w:val="000300AD"/>
    <w:rsid w:val="00060B43"/>
    <w:rsid w:val="000700B0"/>
    <w:rsid w:val="000C5A0A"/>
    <w:rsid w:val="000C7EAC"/>
    <w:rsid w:val="000D5500"/>
    <w:rsid w:val="000E2E7E"/>
    <w:rsid w:val="00101894"/>
    <w:rsid w:val="00104E91"/>
    <w:rsid w:val="00113799"/>
    <w:rsid w:val="00117DAD"/>
    <w:rsid w:val="00122E96"/>
    <w:rsid w:val="00123B03"/>
    <w:rsid w:val="00126E54"/>
    <w:rsid w:val="00127F51"/>
    <w:rsid w:val="00152A3C"/>
    <w:rsid w:val="001777AA"/>
    <w:rsid w:val="0018125B"/>
    <w:rsid w:val="00182B99"/>
    <w:rsid w:val="001978EF"/>
    <w:rsid w:val="00197F37"/>
    <w:rsid w:val="001A4581"/>
    <w:rsid w:val="001B5004"/>
    <w:rsid w:val="001C116A"/>
    <w:rsid w:val="001F0F18"/>
    <w:rsid w:val="001F6AD1"/>
    <w:rsid w:val="00224161"/>
    <w:rsid w:val="00225DD5"/>
    <w:rsid w:val="0024718A"/>
    <w:rsid w:val="002559CD"/>
    <w:rsid w:val="002577AE"/>
    <w:rsid w:val="0026434E"/>
    <w:rsid w:val="002951A1"/>
    <w:rsid w:val="00297162"/>
    <w:rsid w:val="00297B2E"/>
    <w:rsid w:val="002A17B4"/>
    <w:rsid w:val="002A7CF1"/>
    <w:rsid w:val="002C6420"/>
    <w:rsid w:val="0031033B"/>
    <w:rsid w:val="003151CA"/>
    <w:rsid w:val="00320113"/>
    <w:rsid w:val="0032100B"/>
    <w:rsid w:val="00322DC9"/>
    <w:rsid w:val="00336BE6"/>
    <w:rsid w:val="00347611"/>
    <w:rsid w:val="003637F8"/>
    <w:rsid w:val="00373C78"/>
    <w:rsid w:val="00383D69"/>
    <w:rsid w:val="003A1B20"/>
    <w:rsid w:val="003B0E64"/>
    <w:rsid w:val="003D7957"/>
    <w:rsid w:val="003E2CCC"/>
    <w:rsid w:val="003F2101"/>
    <w:rsid w:val="00402663"/>
    <w:rsid w:val="004066FF"/>
    <w:rsid w:val="00415D3F"/>
    <w:rsid w:val="004554B1"/>
    <w:rsid w:val="00456822"/>
    <w:rsid w:val="0046051A"/>
    <w:rsid w:val="00463375"/>
    <w:rsid w:val="004739B1"/>
    <w:rsid w:val="00484648"/>
    <w:rsid w:val="00497386"/>
    <w:rsid w:val="004A31FB"/>
    <w:rsid w:val="004A44A1"/>
    <w:rsid w:val="004A5CC2"/>
    <w:rsid w:val="004A71C9"/>
    <w:rsid w:val="004B6383"/>
    <w:rsid w:val="004C153D"/>
    <w:rsid w:val="004D2339"/>
    <w:rsid w:val="004E36F2"/>
    <w:rsid w:val="00511F70"/>
    <w:rsid w:val="005163A9"/>
    <w:rsid w:val="005443FB"/>
    <w:rsid w:val="0055521D"/>
    <w:rsid w:val="00575459"/>
    <w:rsid w:val="00576749"/>
    <w:rsid w:val="0058112E"/>
    <w:rsid w:val="005A57CA"/>
    <w:rsid w:val="005C5615"/>
    <w:rsid w:val="005D7DC8"/>
    <w:rsid w:val="006045E5"/>
    <w:rsid w:val="006103BB"/>
    <w:rsid w:val="0061287D"/>
    <w:rsid w:val="00614F1E"/>
    <w:rsid w:val="006207FD"/>
    <w:rsid w:val="00635292"/>
    <w:rsid w:val="00641165"/>
    <w:rsid w:val="0064276C"/>
    <w:rsid w:val="006430AB"/>
    <w:rsid w:val="006447B2"/>
    <w:rsid w:val="00646664"/>
    <w:rsid w:val="00670E63"/>
    <w:rsid w:val="00672524"/>
    <w:rsid w:val="00682759"/>
    <w:rsid w:val="00686617"/>
    <w:rsid w:val="006870FA"/>
    <w:rsid w:val="006904D5"/>
    <w:rsid w:val="006A55C7"/>
    <w:rsid w:val="006C42CC"/>
    <w:rsid w:val="006E05E8"/>
    <w:rsid w:val="006E685C"/>
    <w:rsid w:val="006F1C4A"/>
    <w:rsid w:val="00704E7E"/>
    <w:rsid w:val="00706F0A"/>
    <w:rsid w:val="00724DC5"/>
    <w:rsid w:val="00727AD8"/>
    <w:rsid w:val="00733CA7"/>
    <w:rsid w:val="007371B9"/>
    <w:rsid w:val="0074496D"/>
    <w:rsid w:val="007620C7"/>
    <w:rsid w:val="007924EC"/>
    <w:rsid w:val="007A7AB9"/>
    <w:rsid w:val="007D1510"/>
    <w:rsid w:val="007E4E0E"/>
    <w:rsid w:val="007E771A"/>
    <w:rsid w:val="007E7CBE"/>
    <w:rsid w:val="007F2095"/>
    <w:rsid w:val="007F43D1"/>
    <w:rsid w:val="007F55A2"/>
    <w:rsid w:val="00820D63"/>
    <w:rsid w:val="008264B1"/>
    <w:rsid w:val="00830E2E"/>
    <w:rsid w:val="00833323"/>
    <w:rsid w:val="00843926"/>
    <w:rsid w:val="00850DA5"/>
    <w:rsid w:val="0087642E"/>
    <w:rsid w:val="008815CC"/>
    <w:rsid w:val="0088314C"/>
    <w:rsid w:val="008A28E2"/>
    <w:rsid w:val="008B589B"/>
    <w:rsid w:val="008C68FA"/>
    <w:rsid w:val="008C6CFB"/>
    <w:rsid w:val="008D2B48"/>
    <w:rsid w:val="008E0FED"/>
    <w:rsid w:val="008E2243"/>
    <w:rsid w:val="008E7A04"/>
    <w:rsid w:val="00914091"/>
    <w:rsid w:val="009210CD"/>
    <w:rsid w:val="009428C3"/>
    <w:rsid w:val="009607B6"/>
    <w:rsid w:val="00963012"/>
    <w:rsid w:val="0097459B"/>
    <w:rsid w:val="00975183"/>
    <w:rsid w:val="00984EAA"/>
    <w:rsid w:val="00993706"/>
    <w:rsid w:val="00995F28"/>
    <w:rsid w:val="009A1607"/>
    <w:rsid w:val="009A212A"/>
    <w:rsid w:val="009B138E"/>
    <w:rsid w:val="009B5719"/>
    <w:rsid w:val="009B6542"/>
    <w:rsid w:val="009C1AA0"/>
    <w:rsid w:val="009E3358"/>
    <w:rsid w:val="009F678E"/>
    <w:rsid w:val="00A01532"/>
    <w:rsid w:val="00A1040E"/>
    <w:rsid w:val="00A2449E"/>
    <w:rsid w:val="00A260D2"/>
    <w:rsid w:val="00A27C05"/>
    <w:rsid w:val="00A62D31"/>
    <w:rsid w:val="00A8618A"/>
    <w:rsid w:val="00A86AC1"/>
    <w:rsid w:val="00A964CE"/>
    <w:rsid w:val="00AA4133"/>
    <w:rsid w:val="00AB1490"/>
    <w:rsid w:val="00AE32FC"/>
    <w:rsid w:val="00B00C99"/>
    <w:rsid w:val="00B119A5"/>
    <w:rsid w:val="00B269AE"/>
    <w:rsid w:val="00B26DFB"/>
    <w:rsid w:val="00B532DA"/>
    <w:rsid w:val="00B55585"/>
    <w:rsid w:val="00B63261"/>
    <w:rsid w:val="00B95A2B"/>
    <w:rsid w:val="00BE76B3"/>
    <w:rsid w:val="00C1376F"/>
    <w:rsid w:val="00C238D9"/>
    <w:rsid w:val="00C23CDC"/>
    <w:rsid w:val="00C30E43"/>
    <w:rsid w:val="00C31086"/>
    <w:rsid w:val="00C46CA5"/>
    <w:rsid w:val="00C47D9D"/>
    <w:rsid w:val="00C54FD1"/>
    <w:rsid w:val="00C630C4"/>
    <w:rsid w:val="00C726D6"/>
    <w:rsid w:val="00C81E54"/>
    <w:rsid w:val="00C9255A"/>
    <w:rsid w:val="00CA24E6"/>
    <w:rsid w:val="00CA54E5"/>
    <w:rsid w:val="00CC7142"/>
    <w:rsid w:val="00CE4DAD"/>
    <w:rsid w:val="00CE64CA"/>
    <w:rsid w:val="00CE6C88"/>
    <w:rsid w:val="00CF108C"/>
    <w:rsid w:val="00D01387"/>
    <w:rsid w:val="00D01684"/>
    <w:rsid w:val="00D14BE1"/>
    <w:rsid w:val="00D20BE1"/>
    <w:rsid w:val="00D5355C"/>
    <w:rsid w:val="00D61DC5"/>
    <w:rsid w:val="00D64C53"/>
    <w:rsid w:val="00D65B69"/>
    <w:rsid w:val="00D770F4"/>
    <w:rsid w:val="00D93DBE"/>
    <w:rsid w:val="00D97A45"/>
    <w:rsid w:val="00DF08AF"/>
    <w:rsid w:val="00DF456F"/>
    <w:rsid w:val="00E03577"/>
    <w:rsid w:val="00E201EA"/>
    <w:rsid w:val="00E2738C"/>
    <w:rsid w:val="00E46B76"/>
    <w:rsid w:val="00E575F7"/>
    <w:rsid w:val="00E70D88"/>
    <w:rsid w:val="00E767F3"/>
    <w:rsid w:val="00E777BC"/>
    <w:rsid w:val="00E90037"/>
    <w:rsid w:val="00E90F98"/>
    <w:rsid w:val="00E9784B"/>
    <w:rsid w:val="00EA1530"/>
    <w:rsid w:val="00EB2869"/>
    <w:rsid w:val="00F01CBC"/>
    <w:rsid w:val="00F0641C"/>
    <w:rsid w:val="00F47750"/>
    <w:rsid w:val="00F50FE8"/>
    <w:rsid w:val="00F728E4"/>
    <w:rsid w:val="00F74818"/>
    <w:rsid w:val="00F9169C"/>
    <w:rsid w:val="00FB3C96"/>
    <w:rsid w:val="00FB3EF9"/>
    <w:rsid w:val="00FB4BEA"/>
    <w:rsid w:val="00FB70ED"/>
    <w:rsid w:val="00FB7377"/>
    <w:rsid w:val="00FC27BC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C9ED74"/>
  <w15:docId w15:val="{26D7C4BA-2419-4161-9ECE-DA9B39A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22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575F7"/>
    <w:pPr>
      <w:numPr>
        <w:numId w:val="3"/>
      </w:numPr>
      <w:spacing w:after="200" w:line="276" w:lineRule="auto"/>
      <w:outlineLvl w:val="0"/>
    </w:pPr>
    <w:rPr>
      <w:rFonts w:ascii="Calibri" w:eastAsia="Calibri" w:hAnsi="Calibri" w:cs="Times New Roman"/>
      <w:b/>
      <w:color w:val="094174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06F0A"/>
    <w:pPr>
      <w:numPr>
        <w:ilvl w:val="1"/>
        <w:numId w:val="3"/>
      </w:numPr>
      <w:spacing w:after="200" w:line="276" w:lineRule="auto"/>
      <w:outlineLvl w:val="1"/>
    </w:pPr>
    <w:rPr>
      <w:rFonts w:ascii="Calibri" w:eastAsia="Calibri" w:hAnsi="Calibri" w:cs="Times New Roman"/>
      <w:b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706F0A"/>
    <w:pPr>
      <w:numPr>
        <w:ilvl w:val="2"/>
        <w:numId w:val="3"/>
      </w:numPr>
      <w:spacing w:after="200" w:line="276" w:lineRule="auto"/>
      <w:outlineLvl w:val="2"/>
    </w:pPr>
    <w:rPr>
      <w:rFonts w:ascii="Calibri" w:eastAsia="Calibri" w:hAnsi="Calibri" w:cs="Times New Roman"/>
      <w:b/>
      <w:i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B4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60B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B43"/>
    <w:rPr>
      <w:sz w:val="24"/>
      <w:szCs w:val="24"/>
    </w:rPr>
  </w:style>
  <w:style w:type="character" w:styleId="Hipervnculo">
    <w:name w:val="Hyperlink"/>
    <w:uiPriority w:val="99"/>
    <w:unhideWhenUsed/>
    <w:rsid w:val="00FB4BEA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87642E"/>
    <w:pPr>
      <w:tabs>
        <w:tab w:val="left" w:pos="440"/>
        <w:tab w:val="right" w:leader="dot" w:pos="8828"/>
      </w:tabs>
      <w:spacing w:before="120" w:after="120" w:line="276" w:lineRule="auto"/>
    </w:pPr>
    <w:rPr>
      <w:rFonts w:ascii="Calibri" w:eastAsia="Calibri" w:hAnsi="Calibri" w:cs="Times New Roman"/>
      <w:b/>
      <w:bCs/>
      <w:caps/>
      <w:sz w:val="20"/>
      <w:szCs w:val="20"/>
      <w:lang w:val="es-ES" w:eastAsia="es-ES" w:bidi="es-ES"/>
    </w:rPr>
  </w:style>
  <w:style w:type="paragraph" w:styleId="TDC2">
    <w:name w:val="toc 2"/>
    <w:basedOn w:val="Normal"/>
    <w:next w:val="Normal"/>
    <w:autoRedefine/>
    <w:uiPriority w:val="39"/>
    <w:unhideWhenUsed/>
    <w:rsid w:val="00FB4BEA"/>
    <w:pPr>
      <w:spacing w:line="276" w:lineRule="auto"/>
      <w:ind w:left="220"/>
    </w:pPr>
    <w:rPr>
      <w:rFonts w:ascii="Calibri" w:eastAsia="Calibri" w:hAnsi="Calibri" w:cs="Times New Roman"/>
      <w:smallCaps/>
      <w:sz w:val="20"/>
      <w:szCs w:val="20"/>
      <w:lang w:val="es-ES" w:eastAsia="es-ES" w:bidi="es-ES"/>
    </w:rPr>
  </w:style>
  <w:style w:type="paragraph" w:styleId="TDC3">
    <w:name w:val="toc 3"/>
    <w:basedOn w:val="Normal"/>
    <w:next w:val="Normal"/>
    <w:autoRedefine/>
    <w:uiPriority w:val="39"/>
    <w:unhideWhenUsed/>
    <w:rsid w:val="00FB4BEA"/>
    <w:pPr>
      <w:spacing w:line="276" w:lineRule="auto"/>
      <w:ind w:left="440"/>
    </w:pPr>
    <w:rPr>
      <w:rFonts w:ascii="Calibri" w:eastAsia="Calibri" w:hAnsi="Calibri" w:cs="Times New Roman"/>
      <w:i/>
      <w:iCs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1978EF"/>
    <w:pPr>
      <w:widowControl w:val="0"/>
      <w:autoSpaceDE w:val="0"/>
      <w:autoSpaceDN w:val="0"/>
      <w:ind w:left="1546" w:hanging="360"/>
    </w:pPr>
    <w:rPr>
      <w:rFonts w:ascii="Arial" w:eastAsia="Arial" w:hAnsi="Arial" w:cs="Arial"/>
      <w:sz w:val="22"/>
      <w:szCs w:val="22"/>
      <w:lang w:val="es-CO"/>
    </w:rPr>
  </w:style>
  <w:style w:type="table" w:styleId="Tablaconcuadrcula">
    <w:name w:val="Table Grid"/>
    <w:basedOn w:val="Tablanormal"/>
    <w:uiPriority w:val="39"/>
    <w:rsid w:val="0051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575F7"/>
    <w:rPr>
      <w:rFonts w:ascii="Calibri" w:eastAsia="Calibri" w:hAnsi="Calibri" w:cs="Times New Roman"/>
      <w:b/>
      <w:color w:val="094174"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706F0A"/>
    <w:rPr>
      <w:rFonts w:ascii="Calibri" w:eastAsia="Calibri" w:hAnsi="Calibri" w:cs="Times New Roman"/>
      <w:b/>
      <w:sz w:val="24"/>
      <w:szCs w:val="24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706F0A"/>
    <w:rPr>
      <w:rFonts w:ascii="Calibri" w:eastAsia="Calibri" w:hAnsi="Calibri" w:cs="Times New Roman"/>
      <w:b/>
      <w:i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unhideWhenUsed/>
    <w:rsid w:val="00E2738C"/>
    <w:rPr>
      <w:sz w:val="16"/>
      <w:szCs w:val="1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3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odriguez@latinex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677156596474583F5655E067BE9EB" ma:contentTypeVersion="27" ma:contentTypeDescription="Create a new document." ma:contentTypeScope="" ma:versionID="e130718beb946b7146b112fe8149b550">
  <xsd:schema xmlns:xsd="http://www.w3.org/2001/XMLSchema" xmlns:xs="http://www.w3.org/2001/XMLSchema" xmlns:p="http://schemas.microsoft.com/office/2006/metadata/properties" xmlns:ns2="6eedbdac-f140-42d7-9d1b-6683f14b8c20" xmlns:ns3="d9914f33-11f1-4ee0-84be-354cc66ea3e4" targetNamespace="http://schemas.microsoft.com/office/2006/metadata/properties" ma:root="true" ma:fieldsID="91a9fd220c5012e5b33bf457a1a5eb95" ns2:_="" ns3:_="">
    <xsd:import namespace="6eedbdac-f140-42d7-9d1b-6683f14b8c20"/>
    <xsd:import namespace="d9914f33-11f1-4ee0-84be-354cc66ea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TRAZ_x002e_ACTIVO" minOccurs="0"/>
                <xsd:element ref="ns2:C_x00d3_DIGO_x0028_N_x0029_" minOccurs="0"/>
                <xsd:element ref="ns2:ESTADO" minOccurs="0"/>
                <xsd:element ref="ns2:Clasificaci_x00f3_n" minOccurs="0"/>
                <xsd:element ref="ns2:VigenciaDesde" minOccurs="0"/>
                <xsd:element ref="ns2:VigenciaHasta" minOccurs="0"/>
                <xsd:element ref="ns2:Idioma" minOccurs="0"/>
                <xsd:element ref="ns2:MedioSoporte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probador" minOccurs="0"/>
                <xsd:element ref="ns2:REVISI_x00d3_N" minOccurs="0"/>
                <xsd:element ref="ns2:MediaServiceDateTaken" minOccurs="0"/>
                <xsd:element ref="ns2:MediaLengthInSeconds" minOccurs="0"/>
                <xsd:element ref="ns2:Versionami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bdac-f140-42d7-9d1b-6683f14b8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RAZ_x002e_ACTIVO" ma:index="11" nillable="true" ma:displayName="Tipodocumento" ma:format="RadioButtons" ma:internalName="TRAZ_x002e_ACTIVO">
      <xsd:simpleType>
        <xsd:union memberTypes="dms:Text">
          <xsd:simpleType>
            <xsd:restriction base="dms:Choice">
              <xsd:enumeration value="Política"/>
              <xsd:enumeration value="Procedimiento"/>
              <xsd:enumeration value="General"/>
              <xsd:enumeration value="Formato"/>
              <xsd:enumeration value="Flujograma"/>
            </xsd:restriction>
          </xsd:simpleType>
        </xsd:union>
      </xsd:simpleType>
    </xsd:element>
    <xsd:element name="C_x00d3_DIGO_x0028_N_x0029_" ma:index="12" nillable="true" ma:displayName="Código (N)" ma:format="Dropdown" ma:internalName="C_x00d3_DIGO_x0028_N_x0029_">
      <xsd:simpleType>
        <xsd:restriction base="dms:Text">
          <xsd:maxLength value="255"/>
        </xsd:restriction>
      </xsd:simpleType>
    </xsd:element>
    <xsd:element name="ESTADO" ma:index="13" nillable="true" ma:displayName="Estado" ma:description="Estado del documento" ma:format="Dropdown" ma:internalName="ESTADO">
      <xsd:simpleType>
        <xsd:restriction base="dms:Choice">
          <xsd:enumeration value="NO INICIADO"/>
          <xsd:enumeration value="EN DESARROLLO"/>
          <xsd:enumeration value="EN REVISIÓN"/>
          <xsd:enumeration value="VIGENTE"/>
          <xsd:enumeration value="OBSOLETO"/>
        </xsd:restriction>
      </xsd:simpleType>
    </xsd:element>
    <xsd:element name="Clasificaci_x00f3_n" ma:index="14" nillable="true" ma:displayName="Clasificación " ma:description="Clasificación de los documentos&#10;" ma:format="Dropdown" ma:internalName="Clasificaci_x00f3_n">
      <xsd:simpleType>
        <xsd:restriction base="dms:Choice">
          <xsd:enumeration value="PÚBLICO"/>
          <xsd:enumeration value="USO INTERNO"/>
          <xsd:enumeration value="CONFIDENCIAL"/>
          <xsd:enumeration value="SENSIBLE"/>
        </xsd:restriction>
      </xsd:simpleType>
    </xsd:element>
    <xsd:element name="VigenciaDesde" ma:index="15" nillable="true" ma:displayName="Vigencia Desde" ma:format="DateOnly" ma:internalName="VigenciaDesde">
      <xsd:simpleType>
        <xsd:restriction base="dms:DateTime"/>
      </xsd:simpleType>
    </xsd:element>
    <xsd:element name="VigenciaHasta" ma:index="16" nillable="true" ma:displayName="Vigencia Hasta" ma:format="DateOnly" ma:internalName="VigenciaHasta">
      <xsd:simpleType>
        <xsd:restriction base="dms:DateTime"/>
      </xsd:simpleType>
    </xsd:element>
    <xsd:element name="Idioma" ma:index="17" nillable="true" ma:displayName="Idioma" ma:format="Dropdown" ma:internalName="Idioma">
      <xsd:simpleType>
        <xsd:restriction base="dms:Choice">
          <xsd:enumeration value="ESPAÑOL"/>
          <xsd:enumeration value="INGLES"/>
        </xsd:restriction>
      </xsd:simpleType>
    </xsd:element>
    <xsd:element name="MedioSoporte" ma:index="18" nillable="true" ma:displayName="Medio Soporte" ma:format="Dropdown" ma:internalName="MedioSoporte">
      <xsd:simpleType>
        <xsd:union memberTypes="dms:Text">
          <xsd:simpleType>
            <xsd:restriction base="dms:Choice">
              <xsd:enumeration value="Electronico"/>
            </xsd:restriction>
          </xsd:simpleType>
        </xsd:union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e06f31c-2fa1-4a31-a5a1-92e686040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Aprobador" ma:index="28" nillable="true" ma:displayName="Aprobador" ma:format="Dropdown" ma:internalName="Aprobad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icial de Seguridad de la Información"/>
                    <xsd:enumeration value="VP de Tecnología"/>
                    <xsd:enumeration value="Presidencia Ejecutiva"/>
                    <xsd:enumeration value="Comité de Riesgos"/>
                    <xsd:enumeration value="Junta Directiva"/>
                    <xsd:enumeration value="VPA Capital Humano"/>
                  </xsd:restriction>
                </xsd:simpleType>
              </xsd:element>
            </xsd:sequence>
          </xsd:extension>
        </xsd:complexContent>
      </xsd:complexType>
    </xsd:element>
    <xsd:element name="REVISI_x00d3_N" ma:index="29" nillable="true" ma:displayName="Revisión" ma:format="Dropdown" ma:internalName="REVISI_x00d3_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icial de Seguridad de Información"/>
                    <xsd:enumeration value="VP de Tecnología"/>
                    <xsd:enumeration value="Líder de Proceso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3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Versionamiento" ma:index="32" nillable="true" ma:displayName="Versionamiento" ma:format="Dropdown" ma:internalName="Versionamien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14f33-11f1-4ee0-84be-354cc66ea3e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797c8e-388b-4ec3-9884-5f43d9ddb60b}" ma:internalName="TaxCatchAll" ma:showField="CatchAllData" ma:web="d9914f33-11f1-4ee0-84be-354cc66ea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genciaHasta xmlns="6eedbdac-f140-42d7-9d1b-6683f14b8c20" xsi:nil="true"/>
    <TRAZ_x002e_ACTIVO xmlns="6eedbdac-f140-42d7-9d1b-6683f14b8c20">Política</TRAZ_x002e_ACTIVO>
    <Clasificaci_x00f3_n xmlns="6eedbdac-f140-42d7-9d1b-6683f14b8c20">PÚBLICO</Clasificaci_x00f3_n>
    <_Flow_SignoffStatus xmlns="6eedbdac-f140-42d7-9d1b-6683f14b8c20" xsi:nil="true"/>
    <C_x00d3_DIGO_x0028_N_x0029_ xmlns="6eedbdac-f140-42d7-9d1b-6683f14b8c20">LTX-SI-PO002</C_x00d3_DIGO_x0028_N_x0029_>
    <ESTADO xmlns="6eedbdac-f140-42d7-9d1b-6683f14b8c20">EN REVISIÓN</ESTADO>
    <Idioma xmlns="6eedbdac-f140-42d7-9d1b-6683f14b8c20">ESPAÑOL</Idioma>
    <VigenciaDesde xmlns="6eedbdac-f140-42d7-9d1b-6683f14b8c20" xsi:nil="true"/>
    <MedioSoporte xmlns="6eedbdac-f140-42d7-9d1b-6683f14b8c20">Electronico</MedioSoporte>
    <TaxCatchAll xmlns="d9914f33-11f1-4ee0-84be-354cc66ea3e4" xsi:nil="true"/>
    <lcf76f155ced4ddcb4097134ff3c332f xmlns="6eedbdac-f140-42d7-9d1b-6683f14b8c20">
      <Terms xmlns="http://schemas.microsoft.com/office/infopath/2007/PartnerControls"/>
    </lcf76f155ced4ddcb4097134ff3c332f>
    <Aprobador xmlns="6eedbdac-f140-42d7-9d1b-6683f14b8c20">
      <Value>Presidencia Ejecutiva</Value>
    </Aprobador>
    <REVISI_x00d3_N xmlns="6eedbdac-f140-42d7-9d1b-6683f14b8c20">
      <Value>Oficial de Seguridad de Información</Value>
      <Value>VP de Tecnología</Value>
    </REVISI_x00d3_N>
    <Versionamiento xmlns="6eedbdac-f140-42d7-9d1b-6683f14b8c20">2.0</Versionamiento>
  </documentManagement>
</p:properties>
</file>

<file path=customXml/itemProps1.xml><?xml version="1.0" encoding="utf-8"?>
<ds:datastoreItem xmlns:ds="http://schemas.openxmlformats.org/officeDocument/2006/customXml" ds:itemID="{FF7AE5F9-8FE3-4889-8ACB-A32AB3FF3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C9B2A-9725-40AE-B6BD-91D20DD58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dbdac-f140-42d7-9d1b-6683f14b8c20"/>
    <ds:schemaRef ds:uri="d9914f33-11f1-4ee0-84be-354cc66ea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4E18A-144C-475A-9AA2-98A9CAD3F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0DB15-10F8-47AD-941A-26210E324759}">
  <ds:schemaRefs>
    <ds:schemaRef ds:uri="http://schemas.microsoft.com/office/2006/metadata/properties"/>
    <ds:schemaRef ds:uri="http://schemas.microsoft.com/office/infopath/2007/PartnerControls"/>
    <ds:schemaRef ds:uri="6eedbdac-f140-42d7-9d1b-6683f14b8c20"/>
    <ds:schemaRef ds:uri="d9914f33-11f1-4ee0-84be-354cc66ea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Medina Casanova</dc:creator>
  <cp:keywords/>
  <dc:description/>
  <cp:lastModifiedBy>Valerio Medina Casanova</cp:lastModifiedBy>
  <cp:revision>25</cp:revision>
  <dcterms:created xsi:type="dcterms:W3CDTF">2023-01-25T20:47:00Z</dcterms:created>
  <dcterms:modified xsi:type="dcterms:W3CDTF">2023-12-12T21:33:00Z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0x0101005ED677156596474583F5655E067BE9EB</vt:lpwstr>
  </property>
  <property fmtid="{D5CDD505-2E9C-101B-9397-08002B2CF9AE}" pid="3" name="MediaServiceImageTags">
    <vt:lpwstr/>
  </property>
  <property fmtid="{D5CDD505-2E9C-101B-9397-08002B2CF9AE}" pid="4" name="UbicaciónActual">
    <vt:lpwstr>, </vt:lpwstr>
  </property>
</Properties>
</file>